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A2D" w:rsidRDefault="00E53A2D" w:rsidP="00E94B85">
      <w:pPr>
        <w:spacing w:line="480" w:lineRule="auto"/>
        <w:jc w:val="both"/>
        <w:rPr>
          <w:rFonts w:ascii="Times New Roman" w:hAnsi="Times New Roman" w:cs="Times New Roman"/>
          <w:b/>
          <w:color w:val="1B1B1B"/>
          <w:sz w:val="24"/>
          <w:szCs w:val="27"/>
        </w:rPr>
      </w:pPr>
    </w:p>
    <w:p w:rsidR="00E53A2D" w:rsidRDefault="00E53A2D" w:rsidP="00E94B85">
      <w:pPr>
        <w:spacing w:line="480" w:lineRule="auto"/>
        <w:jc w:val="both"/>
        <w:rPr>
          <w:rFonts w:ascii="Times New Roman" w:hAnsi="Times New Roman" w:cs="Times New Roman"/>
          <w:b/>
          <w:color w:val="1B1B1B"/>
          <w:sz w:val="24"/>
          <w:szCs w:val="27"/>
        </w:rPr>
      </w:pPr>
    </w:p>
    <w:p w:rsidR="00E53A2D" w:rsidRDefault="00E53A2D" w:rsidP="00E94B85">
      <w:pPr>
        <w:spacing w:line="480" w:lineRule="auto"/>
        <w:jc w:val="both"/>
        <w:rPr>
          <w:rFonts w:ascii="Times New Roman" w:hAnsi="Times New Roman" w:cs="Times New Roman"/>
          <w:b/>
          <w:color w:val="1B1B1B"/>
          <w:sz w:val="24"/>
          <w:szCs w:val="27"/>
        </w:rPr>
      </w:pPr>
    </w:p>
    <w:p w:rsidR="00E53A2D" w:rsidRDefault="00E53A2D" w:rsidP="00E94B85">
      <w:pPr>
        <w:spacing w:line="480" w:lineRule="auto"/>
        <w:jc w:val="both"/>
        <w:rPr>
          <w:rFonts w:ascii="Times New Roman" w:hAnsi="Times New Roman" w:cs="Times New Roman"/>
          <w:b/>
          <w:color w:val="1B1B1B"/>
          <w:sz w:val="24"/>
          <w:szCs w:val="27"/>
        </w:rPr>
      </w:pPr>
    </w:p>
    <w:p w:rsidR="00E53A2D" w:rsidRDefault="00E53A2D" w:rsidP="00E53A2D">
      <w:pPr>
        <w:spacing w:line="480" w:lineRule="auto"/>
        <w:jc w:val="center"/>
        <w:rPr>
          <w:rFonts w:ascii="Times New Roman" w:hAnsi="Times New Roman" w:cs="Times New Roman"/>
          <w:color w:val="1B1B1B"/>
          <w:sz w:val="24"/>
          <w:szCs w:val="27"/>
        </w:rPr>
      </w:pPr>
      <w:r>
        <w:rPr>
          <w:rFonts w:ascii="Times New Roman" w:hAnsi="Times New Roman" w:cs="Times New Roman"/>
          <w:color w:val="1B1B1B"/>
          <w:sz w:val="24"/>
          <w:szCs w:val="27"/>
        </w:rPr>
        <w:t>Accounting and Financial Decisions</w:t>
      </w:r>
    </w:p>
    <w:p w:rsidR="00E53A2D" w:rsidRDefault="00E53A2D" w:rsidP="00E53A2D">
      <w:pPr>
        <w:spacing w:line="480" w:lineRule="auto"/>
        <w:jc w:val="center"/>
        <w:rPr>
          <w:rFonts w:ascii="Times New Roman" w:hAnsi="Times New Roman" w:cs="Times New Roman"/>
          <w:color w:val="1B1B1B"/>
          <w:sz w:val="24"/>
          <w:szCs w:val="27"/>
        </w:rPr>
      </w:pPr>
      <w:r>
        <w:rPr>
          <w:rFonts w:ascii="Times New Roman" w:hAnsi="Times New Roman" w:cs="Times New Roman"/>
          <w:color w:val="1B1B1B"/>
          <w:sz w:val="24"/>
          <w:szCs w:val="27"/>
        </w:rPr>
        <w:t>Institution Affiliation</w:t>
      </w:r>
    </w:p>
    <w:p w:rsidR="00E53A2D" w:rsidRDefault="00E53A2D" w:rsidP="00E53A2D">
      <w:pPr>
        <w:spacing w:line="480" w:lineRule="auto"/>
        <w:jc w:val="center"/>
        <w:rPr>
          <w:rFonts w:ascii="Times New Roman" w:hAnsi="Times New Roman" w:cs="Times New Roman"/>
          <w:color w:val="1B1B1B"/>
          <w:sz w:val="24"/>
          <w:szCs w:val="27"/>
        </w:rPr>
      </w:pPr>
      <w:r>
        <w:rPr>
          <w:rFonts w:ascii="Times New Roman" w:hAnsi="Times New Roman" w:cs="Times New Roman"/>
          <w:color w:val="1B1B1B"/>
          <w:sz w:val="24"/>
          <w:szCs w:val="27"/>
        </w:rPr>
        <w:t>Name</w:t>
      </w:r>
    </w:p>
    <w:p w:rsidR="00E53A2D" w:rsidRDefault="00E53A2D" w:rsidP="00E53A2D">
      <w:pPr>
        <w:spacing w:line="480" w:lineRule="auto"/>
        <w:jc w:val="center"/>
        <w:rPr>
          <w:rFonts w:ascii="Times New Roman" w:hAnsi="Times New Roman" w:cs="Times New Roman"/>
          <w:color w:val="1B1B1B"/>
          <w:sz w:val="24"/>
          <w:szCs w:val="27"/>
        </w:rPr>
      </w:pPr>
      <w:r>
        <w:rPr>
          <w:rFonts w:ascii="Times New Roman" w:hAnsi="Times New Roman" w:cs="Times New Roman"/>
          <w:color w:val="1B1B1B"/>
          <w:sz w:val="24"/>
          <w:szCs w:val="27"/>
        </w:rPr>
        <w:t>Course</w:t>
      </w:r>
    </w:p>
    <w:p w:rsidR="00E53A2D" w:rsidRDefault="00E53A2D" w:rsidP="00E53A2D">
      <w:pPr>
        <w:spacing w:line="480" w:lineRule="auto"/>
        <w:jc w:val="center"/>
        <w:rPr>
          <w:rFonts w:ascii="Times New Roman" w:hAnsi="Times New Roman" w:cs="Times New Roman"/>
          <w:color w:val="1B1B1B"/>
          <w:sz w:val="24"/>
          <w:szCs w:val="27"/>
        </w:rPr>
      </w:pPr>
      <w:r>
        <w:rPr>
          <w:rFonts w:ascii="Times New Roman" w:hAnsi="Times New Roman" w:cs="Times New Roman"/>
          <w:color w:val="1B1B1B"/>
          <w:sz w:val="24"/>
          <w:szCs w:val="27"/>
        </w:rPr>
        <w:t>Date</w:t>
      </w:r>
    </w:p>
    <w:p w:rsidR="00E53A2D" w:rsidRDefault="00E53A2D" w:rsidP="00E94B85">
      <w:pPr>
        <w:spacing w:line="480" w:lineRule="auto"/>
        <w:jc w:val="both"/>
        <w:rPr>
          <w:rFonts w:ascii="Times New Roman" w:hAnsi="Times New Roman" w:cs="Times New Roman"/>
          <w:color w:val="1B1B1B"/>
          <w:sz w:val="24"/>
          <w:szCs w:val="27"/>
        </w:rPr>
      </w:pPr>
    </w:p>
    <w:p w:rsidR="00E53A2D" w:rsidRDefault="00E53A2D" w:rsidP="00E94B85">
      <w:pPr>
        <w:spacing w:line="480" w:lineRule="auto"/>
        <w:jc w:val="both"/>
        <w:rPr>
          <w:rFonts w:ascii="Times New Roman" w:hAnsi="Times New Roman" w:cs="Times New Roman"/>
          <w:color w:val="1B1B1B"/>
          <w:sz w:val="24"/>
          <w:szCs w:val="27"/>
        </w:rPr>
      </w:pPr>
    </w:p>
    <w:p w:rsidR="00E53A2D" w:rsidRDefault="00E53A2D" w:rsidP="00E94B85">
      <w:pPr>
        <w:spacing w:line="480" w:lineRule="auto"/>
        <w:jc w:val="both"/>
        <w:rPr>
          <w:rFonts w:ascii="Times New Roman" w:hAnsi="Times New Roman" w:cs="Times New Roman"/>
          <w:color w:val="1B1B1B"/>
          <w:sz w:val="24"/>
          <w:szCs w:val="27"/>
        </w:rPr>
      </w:pPr>
    </w:p>
    <w:p w:rsidR="00E53A2D" w:rsidRDefault="00E53A2D" w:rsidP="00E94B85">
      <w:pPr>
        <w:spacing w:line="480" w:lineRule="auto"/>
        <w:jc w:val="both"/>
        <w:rPr>
          <w:rFonts w:ascii="Times New Roman" w:hAnsi="Times New Roman" w:cs="Times New Roman"/>
          <w:color w:val="1B1B1B"/>
          <w:sz w:val="24"/>
          <w:szCs w:val="27"/>
        </w:rPr>
      </w:pPr>
    </w:p>
    <w:p w:rsidR="00E53A2D" w:rsidRDefault="00E53A2D" w:rsidP="00E94B85">
      <w:pPr>
        <w:spacing w:line="480" w:lineRule="auto"/>
        <w:jc w:val="both"/>
        <w:rPr>
          <w:rFonts w:ascii="Times New Roman" w:hAnsi="Times New Roman" w:cs="Times New Roman"/>
          <w:color w:val="1B1B1B"/>
          <w:sz w:val="24"/>
          <w:szCs w:val="27"/>
        </w:rPr>
      </w:pPr>
    </w:p>
    <w:p w:rsidR="00E53A2D" w:rsidRDefault="00E53A2D" w:rsidP="00E94B85">
      <w:pPr>
        <w:spacing w:line="480" w:lineRule="auto"/>
        <w:jc w:val="both"/>
        <w:rPr>
          <w:rFonts w:ascii="Times New Roman" w:hAnsi="Times New Roman" w:cs="Times New Roman"/>
          <w:color w:val="1B1B1B"/>
          <w:sz w:val="24"/>
          <w:szCs w:val="27"/>
        </w:rPr>
      </w:pPr>
    </w:p>
    <w:p w:rsidR="00E53A2D" w:rsidRDefault="00E53A2D" w:rsidP="00E94B85">
      <w:pPr>
        <w:spacing w:line="480" w:lineRule="auto"/>
        <w:jc w:val="both"/>
        <w:rPr>
          <w:rFonts w:ascii="Times New Roman" w:hAnsi="Times New Roman" w:cs="Times New Roman"/>
          <w:color w:val="1B1B1B"/>
          <w:sz w:val="24"/>
          <w:szCs w:val="27"/>
        </w:rPr>
      </w:pPr>
    </w:p>
    <w:p w:rsidR="00E53A2D" w:rsidRPr="00E53A2D" w:rsidRDefault="00E53A2D" w:rsidP="00E94B85">
      <w:pPr>
        <w:spacing w:line="480" w:lineRule="auto"/>
        <w:jc w:val="both"/>
        <w:rPr>
          <w:rFonts w:ascii="Times New Roman" w:hAnsi="Times New Roman" w:cs="Times New Roman"/>
          <w:color w:val="1B1B1B"/>
          <w:sz w:val="24"/>
          <w:szCs w:val="27"/>
        </w:rPr>
      </w:pPr>
    </w:p>
    <w:p w:rsidR="00262D1D" w:rsidRPr="00A2586C" w:rsidRDefault="00BF6BC6" w:rsidP="008A3B83">
      <w:pPr>
        <w:spacing w:line="480" w:lineRule="auto"/>
        <w:ind w:firstLine="720"/>
        <w:jc w:val="both"/>
        <w:rPr>
          <w:rFonts w:ascii="Times New Roman" w:hAnsi="Times New Roman" w:cs="Times New Roman"/>
          <w:b/>
          <w:color w:val="1B1B1B"/>
          <w:sz w:val="24"/>
          <w:szCs w:val="27"/>
        </w:rPr>
      </w:pPr>
      <w:r w:rsidRPr="00A2586C">
        <w:rPr>
          <w:rFonts w:ascii="Times New Roman" w:hAnsi="Times New Roman" w:cs="Times New Roman"/>
          <w:b/>
          <w:color w:val="1B1B1B"/>
          <w:sz w:val="24"/>
          <w:szCs w:val="27"/>
        </w:rPr>
        <w:lastRenderedPageBreak/>
        <w:t>How does net cash flow differ from net income and why is that difference relevant to financial decision making?</w:t>
      </w:r>
    </w:p>
    <w:p w:rsidR="00AA16BB" w:rsidRPr="00AA16BB" w:rsidRDefault="00AA16BB" w:rsidP="008A3B83">
      <w:pPr>
        <w:spacing w:line="480" w:lineRule="auto"/>
        <w:ind w:firstLine="720"/>
        <w:jc w:val="both"/>
        <w:rPr>
          <w:rFonts w:ascii="Times New Roman" w:hAnsi="Times New Roman" w:cs="Times New Roman"/>
          <w:color w:val="1B1B1B"/>
          <w:sz w:val="24"/>
          <w:szCs w:val="27"/>
        </w:rPr>
      </w:pPr>
      <w:r w:rsidRPr="00AA16BB">
        <w:rPr>
          <w:rFonts w:ascii="Times New Roman" w:hAnsi="Times New Roman" w:cs="Times New Roman"/>
          <w:color w:val="1B1B1B"/>
          <w:sz w:val="24"/>
          <w:szCs w:val="27"/>
        </w:rPr>
        <w:t xml:space="preserve">Net income refers to the revenues that are acknowledged in a reporting period minus the recognized expenses within the same trading period. Net income is got through the accrual basis of accounting, under which the expenses that have been incurred are recognized at the same time as the revenues to which they are linked. Following the accrual basis of accounting, it calls for the employment of the use of the expense accruals in order to accelerate the recognition of expenses which are yet to be paid. Additionally, the basis also allows the use of prepaid expenses to defer the recognition of costs which are yet to be incurred (Khan, 2008). Also, the sales of a company are recognized as they are earned and not when the amounts are received in the form of cash from the customers. Thus, the resulting net income figure shown does not reflect the amount that has actually been generated in that given trading period. </w:t>
      </w:r>
    </w:p>
    <w:p w:rsidR="00AA16BB" w:rsidRPr="00AA16BB" w:rsidRDefault="00AA16BB" w:rsidP="00EC5FA3">
      <w:pPr>
        <w:spacing w:line="480" w:lineRule="auto"/>
        <w:ind w:firstLine="720"/>
        <w:jc w:val="both"/>
        <w:rPr>
          <w:rFonts w:ascii="Times New Roman" w:hAnsi="Times New Roman" w:cs="Times New Roman"/>
          <w:color w:val="1B1B1B"/>
          <w:sz w:val="24"/>
          <w:szCs w:val="27"/>
        </w:rPr>
      </w:pPr>
      <w:r w:rsidRPr="00AA16BB">
        <w:rPr>
          <w:rFonts w:ascii="Times New Roman" w:hAnsi="Times New Roman" w:cs="Times New Roman"/>
          <w:color w:val="1B1B1B"/>
          <w:sz w:val="24"/>
          <w:szCs w:val="27"/>
        </w:rPr>
        <w:t xml:space="preserve">Net cash flow refers to the net change in the amount of cash that is being generated or lost by a business in a certain trading period. Net cash flow is got by determining changes in ending cash balances that result from one trading period to another, and it is not impacted by the accrual basis of accounting. </w:t>
      </w:r>
    </w:p>
    <w:p w:rsidR="00AA16BB" w:rsidRPr="00AA16BB" w:rsidRDefault="00AA16BB" w:rsidP="00EC5FA3">
      <w:pPr>
        <w:spacing w:line="480" w:lineRule="auto"/>
        <w:ind w:firstLine="720"/>
        <w:jc w:val="both"/>
        <w:rPr>
          <w:rFonts w:ascii="Times New Roman" w:hAnsi="Times New Roman" w:cs="Times New Roman"/>
          <w:color w:val="1B1B1B"/>
          <w:sz w:val="24"/>
          <w:szCs w:val="27"/>
        </w:rPr>
      </w:pPr>
      <w:r w:rsidRPr="00AA16BB">
        <w:rPr>
          <w:rFonts w:ascii="Times New Roman" w:hAnsi="Times New Roman" w:cs="Times New Roman"/>
          <w:color w:val="1B1B1B"/>
          <w:sz w:val="24"/>
          <w:szCs w:val="27"/>
        </w:rPr>
        <w:t>The above differences between net income and net cash flow are important to a company since in the calculation of net income the figure that is got does not reflect the actual cash that is consumed or generated within a certain trading period.</w:t>
      </w:r>
    </w:p>
    <w:p w:rsidR="002575F7" w:rsidRDefault="002575F7" w:rsidP="00EC5FA3">
      <w:pPr>
        <w:spacing w:line="480" w:lineRule="auto"/>
        <w:ind w:firstLine="720"/>
        <w:jc w:val="both"/>
        <w:rPr>
          <w:rFonts w:ascii="Times New Roman" w:hAnsi="Times New Roman" w:cs="Times New Roman"/>
          <w:b/>
          <w:color w:val="1B1B1B"/>
          <w:sz w:val="24"/>
          <w:szCs w:val="27"/>
        </w:rPr>
      </w:pPr>
    </w:p>
    <w:p w:rsidR="002575F7" w:rsidRDefault="002575F7" w:rsidP="00EC5FA3">
      <w:pPr>
        <w:spacing w:line="480" w:lineRule="auto"/>
        <w:ind w:firstLine="720"/>
        <w:jc w:val="both"/>
        <w:rPr>
          <w:rFonts w:ascii="Times New Roman" w:hAnsi="Times New Roman" w:cs="Times New Roman"/>
          <w:b/>
          <w:color w:val="1B1B1B"/>
          <w:sz w:val="24"/>
          <w:szCs w:val="27"/>
        </w:rPr>
      </w:pPr>
    </w:p>
    <w:p w:rsidR="00AA16BB" w:rsidRPr="00EC5FA3" w:rsidRDefault="00AA16BB" w:rsidP="00EC5FA3">
      <w:pPr>
        <w:spacing w:line="480" w:lineRule="auto"/>
        <w:ind w:firstLine="720"/>
        <w:jc w:val="both"/>
        <w:rPr>
          <w:rFonts w:ascii="Times New Roman" w:hAnsi="Times New Roman" w:cs="Times New Roman"/>
          <w:b/>
          <w:color w:val="1B1B1B"/>
          <w:sz w:val="24"/>
          <w:szCs w:val="27"/>
        </w:rPr>
      </w:pPr>
      <w:r w:rsidRPr="00EC5FA3">
        <w:rPr>
          <w:rFonts w:ascii="Times New Roman" w:hAnsi="Times New Roman" w:cs="Times New Roman"/>
          <w:b/>
          <w:color w:val="1B1B1B"/>
          <w:sz w:val="24"/>
          <w:szCs w:val="27"/>
        </w:rPr>
        <w:lastRenderedPageBreak/>
        <w:t xml:space="preserve">With regard to tax purposes, which type of depreciation methods do organizations prefer and why?  </w:t>
      </w:r>
    </w:p>
    <w:p w:rsidR="00AA16BB" w:rsidRPr="00AA16BB" w:rsidRDefault="00AA16BB" w:rsidP="007E6A5A">
      <w:pPr>
        <w:spacing w:line="480" w:lineRule="auto"/>
        <w:ind w:firstLine="720"/>
        <w:jc w:val="both"/>
        <w:rPr>
          <w:rFonts w:ascii="Times New Roman" w:hAnsi="Times New Roman" w:cs="Times New Roman"/>
          <w:color w:val="1B1B1B"/>
          <w:sz w:val="24"/>
          <w:szCs w:val="27"/>
        </w:rPr>
      </w:pPr>
      <w:r w:rsidRPr="00AA16BB">
        <w:rPr>
          <w:rFonts w:ascii="Times New Roman" w:hAnsi="Times New Roman" w:cs="Times New Roman"/>
          <w:color w:val="1B1B1B"/>
          <w:sz w:val="24"/>
          <w:szCs w:val="27"/>
        </w:rPr>
        <w:t>With regard to tax purposes, many organizations prefer to employ the use of accelerated depreciation. The accelerated depreciation method operates in a way that is similar to that of the straight-line method, however instead of dividing uniformly, and the early years are weighted more heavily. Thus, many companies prefer to use the accelerated method of depreciation since it is appropriate when a property will initially lose value at a higher rate and then less value over time (Hermanson</w:t>
      </w:r>
      <w:bookmarkStart w:id="0" w:name="_GoBack"/>
      <w:bookmarkEnd w:id="0"/>
      <w:r w:rsidRPr="00AA16BB">
        <w:rPr>
          <w:rFonts w:ascii="Times New Roman" w:hAnsi="Times New Roman" w:cs="Times New Roman"/>
          <w:color w:val="1B1B1B"/>
          <w:sz w:val="24"/>
          <w:szCs w:val="27"/>
        </w:rPr>
        <w:t xml:space="preserve">, 2018). When a company is in operation, and it needs to calculate the depreciation of its assets and equipment in order to be able to offset the purchase costs via tax savings. </w:t>
      </w:r>
    </w:p>
    <w:p w:rsidR="00AA16BB" w:rsidRPr="00AA16BB" w:rsidRDefault="00AA16BB" w:rsidP="00AA16BB">
      <w:pPr>
        <w:spacing w:line="480" w:lineRule="auto"/>
        <w:jc w:val="both"/>
        <w:rPr>
          <w:rFonts w:ascii="Times New Roman" w:hAnsi="Times New Roman" w:cs="Times New Roman"/>
          <w:color w:val="1B1B1B"/>
          <w:sz w:val="24"/>
          <w:szCs w:val="27"/>
        </w:rPr>
      </w:pPr>
    </w:p>
    <w:p w:rsidR="00AA16BB" w:rsidRPr="00AA16BB" w:rsidRDefault="00AA16BB" w:rsidP="00AA16BB">
      <w:pPr>
        <w:spacing w:line="480" w:lineRule="auto"/>
        <w:jc w:val="both"/>
        <w:rPr>
          <w:rFonts w:ascii="Times New Roman" w:hAnsi="Times New Roman" w:cs="Times New Roman"/>
          <w:color w:val="1B1B1B"/>
          <w:sz w:val="24"/>
          <w:szCs w:val="27"/>
        </w:rPr>
      </w:pPr>
    </w:p>
    <w:p w:rsidR="00AA16BB" w:rsidRPr="00AA16BB" w:rsidRDefault="00AA16BB" w:rsidP="00AA16BB">
      <w:pPr>
        <w:spacing w:line="480" w:lineRule="auto"/>
        <w:jc w:val="both"/>
        <w:rPr>
          <w:rFonts w:ascii="Times New Roman" w:hAnsi="Times New Roman" w:cs="Times New Roman"/>
          <w:color w:val="1B1B1B"/>
          <w:sz w:val="24"/>
          <w:szCs w:val="27"/>
        </w:rPr>
      </w:pPr>
    </w:p>
    <w:p w:rsidR="00AA16BB" w:rsidRPr="00AA16BB" w:rsidRDefault="00AA16BB" w:rsidP="00AA16BB">
      <w:pPr>
        <w:spacing w:line="480" w:lineRule="auto"/>
        <w:jc w:val="both"/>
        <w:rPr>
          <w:rFonts w:ascii="Times New Roman" w:hAnsi="Times New Roman" w:cs="Times New Roman"/>
          <w:color w:val="1B1B1B"/>
          <w:sz w:val="24"/>
          <w:szCs w:val="27"/>
        </w:rPr>
      </w:pPr>
    </w:p>
    <w:p w:rsidR="00AA16BB" w:rsidRPr="00AA16BB" w:rsidRDefault="00AA16BB" w:rsidP="00AA16BB">
      <w:pPr>
        <w:spacing w:line="480" w:lineRule="auto"/>
        <w:jc w:val="both"/>
        <w:rPr>
          <w:rFonts w:ascii="Times New Roman" w:hAnsi="Times New Roman" w:cs="Times New Roman"/>
          <w:color w:val="1B1B1B"/>
          <w:sz w:val="24"/>
          <w:szCs w:val="27"/>
        </w:rPr>
      </w:pPr>
    </w:p>
    <w:p w:rsidR="00AA16BB" w:rsidRPr="00AA16BB" w:rsidRDefault="00AA16BB" w:rsidP="00AA16BB">
      <w:pPr>
        <w:spacing w:line="480" w:lineRule="auto"/>
        <w:jc w:val="both"/>
        <w:rPr>
          <w:rFonts w:ascii="Times New Roman" w:hAnsi="Times New Roman" w:cs="Times New Roman"/>
          <w:color w:val="1B1B1B"/>
          <w:sz w:val="24"/>
          <w:szCs w:val="27"/>
        </w:rPr>
      </w:pPr>
    </w:p>
    <w:p w:rsidR="00AA16BB" w:rsidRPr="00AA16BB" w:rsidRDefault="00AA16BB" w:rsidP="00AA16BB">
      <w:pPr>
        <w:spacing w:line="480" w:lineRule="auto"/>
        <w:jc w:val="both"/>
        <w:rPr>
          <w:rFonts w:ascii="Times New Roman" w:hAnsi="Times New Roman" w:cs="Times New Roman"/>
          <w:color w:val="1B1B1B"/>
          <w:sz w:val="24"/>
          <w:szCs w:val="27"/>
        </w:rPr>
      </w:pPr>
    </w:p>
    <w:p w:rsidR="00AA16BB" w:rsidRPr="00AA16BB" w:rsidRDefault="00AA16BB" w:rsidP="00AA16BB">
      <w:pPr>
        <w:spacing w:line="480" w:lineRule="auto"/>
        <w:jc w:val="both"/>
        <w:rPr>
          <w:rFonts w:ascii="Times New Roman" w:hAnsi="Times New Roman" w:cs="Times New Roman"/>
          <w:color w:val="1B1B1B"/>
          <w:sz w:val="24"/>
          <w:szCs w:val="27"/>
        </w:rPr>
      </w:pPr>
    </w:p>
    <w:p w:rsidR="002A0F29" w:rsidRDefault="002A0F29" w:rsidP="002A0F29">
      <w:pPr>
        <w:spacing w:line="480" w:lineRule="auto"/>
        <w:jc w:val="both"/>
        <w:rPr>
          <w:rFonts w:ascii="Times New Roman" w:hAnsi="Times New Roman" w:cs="Times New Roman"/>
          <w:sz w:val="24"/>
        </w:rPr>
      </w:pPr>
    </w:p>
    <w:p w:rsidR="002A0F29" w:rsidRDefault="002A0F29" w:rsidP="002A0F29">
      <w:pPr>
        <w:spacing w:line="480" w:lineRule="auto"/>
        <w:jc w:val="both"/>
        <w:rPr>
          <w:rFonts w:ascii="Times New Roman" w:hAnsi="Times New Roman" w:cs="Times New Roman"/>
          <w:sz w:val="24"/>
        </w:rPr>
      </w:pPr>
    </w:p>
    <w:p w:rsidR="002A0F29" w:rsidRDefault="002A0F29" w:rsidP="002A0F29">
      <w:pPr>
        <w:spacing w:line="480" w:lineRule="auto"/>
        <w:jc w:val="both"/>
        <w:rPr>
          <w:rFonts w:ascii="Times New Roman" w:hAnsi="Times New Roman" w:cs="Times New Roman"/>
          <w:sz w:val="24"/>
        </w:rPr>
      </w:pPr>
    </w:p>
    <w:p w:rsidR="002A0F29" w:rsidRDefault="002A0F29" w:rsidP="002A0F29">
      <w:pPr>
        <w:spacing w:line="480" w:lineRule="auto"/>
        <w:jc w:val="both"/>
        <w:rPr>
          <w:rFonts w:ascii="Times New Roman" w:hAnsi="Times New Roman" w:cs="Times New Roman"/>
          <w:sz w:val="24"/>
        </w:rPr>
      </w:pPr>
    </w:p>
    <w:p w:rsidR="002A0F29" w:rsidRDefault="002A0F29" w:rsidP="002A0F29">
      <w:pPr>
        <w:spacing w:line="480" w:lineRule="auto"/>
        <w:jc w:val="both"/>
        <w:rPr>
          <w:rFonts w:ascii="Times New Roman" w:hAnsi="Times New Roman" w:cs="Times New Roman"/>
          <w:sz w:val="24"/>
        </w:rPr>
      </w:pPr>
    </w:p>
    <w:p w:rsidR="002A0F29" w:rsidRDefault="002A0F29" w:rsidP="003900CC">
      <w:pPr>
        <w:spacing w:line="480" w:lineRule="auto"/>
        <w:jc w:val="center"/>
        <w:rPr>
          <w:rFonts w:ascii="Times New Roman" w:hAnsi="Times New Roman" w:cs="Times New Roman"/>
          <w:sz w:val="24"/>
        </w:rPr>
      </w:pPr>
      <w:r>
        <w:rPr>
          <w:rFonts w:ascii="Times New Roman" w:hAnsi="Times New Roman" w:cs="Times New Roman"/>
          <w:sz w:val="24"/>
        </w:rPr>
        <w:t>References</w:t>
      </w:r>
    </w:p>
    <w:p w:rsidR="00BB550E" w:rsidRPr="00BB550E" w:rsidRDefault="00BB550E" w:rsidP="00BB550E">
      <w:pPr>
        <w:spacing w:line="480" w:lineRule="auto"/>
        <w:ind w:left="720" w:hanging="720"/>
        <w:jc w:val="both"/>
        <w:rPr>
          <w:rFonts w:ascii="Times New Roman" w:hAnsi="Times New Roman" w:cs="Times New Roman"/>
          <w:sz w:val="28"/>
        </w:rPr>
      </w:pPr>
      <w:r w:rsidRPr="00BB550E">
        <w:rPr>
          <w:rFonts w:ascii="Times New Roman" w:hAnsi="Times New Roman" w:cs="Times New Roman"/>
          <w:sz w:val="24"/>
        </w:rPr>
        <w:t xml:space="preserve">Hermanson, R. H., Edwards, J. D., Maher, M., &amp; Donelan-Knox, K. (2018). </w:t>
      </w:r>
      <w:r w:rsidRPr="00BB550E">
        <w:rPr>
          <w:rFonts w:ascii="Times New Roman" w:hAnsi="Times New Roman" w:cs="Times New Roman"/>
          <w:i/>
          <w:iCs/>
          <w:sz w:val="24"/>
        </w:rPr>
        <w:t>Accounting principles: A business perspective</w:t>
      </w:r>
      <w:r w:rsidRPr="00BB550E">
        <w:rPr>
          <w:rFonts w:ascii="Times New Roman" w:hAnsi="Times New Roman" w:cs="Times New Roman"/>
          <w:sz w:val="24"/>
        </w:rPr>
        <w:t>.</w:t>
      </w:r>
    </w:p>
    <w:p w:rsidR="00BB550E" w:rsidRPr="00BB550E" w:rsidRDefault="00BB550E" w:rsidP="00BB550E">
      <w:pPr>
        <w:spacing w:line="480" w:lineRule="auto"/>
        <w:ind w:left="720" w:hanging="720"/>
        <w:jc w:val="both"/>
        <w:rPr>
          <w:rFonts w:ascii="Times New Roman" w:hAnsi="Times New Roman" w:cs="Times New Roman"/>
          <w:sz w:val="24"/>
        </w:rPr>
      </w:pPr>
      <w:r w:rsidRPr="00BB550E">
        <w:rPr>
          <w:rFonts w:ascii="Times New Roman" w:hAnsi="Times New Roman" w:cs="Times New Roman"/>
          <w:sz w:val="24"/>
        </w:rPr>
        <w:t xml:space="preserve">Khan, M. Y., &amp; Jain, P. K. (2008). </w:t>
      </w:r>
      <w:r w:rsidRPr="00BB550E">
        <w:rPr>
          <w:rFonts w:ascii="Times New Roman" w:hAnsi="Times New Roman" w:cs="Times New Roman"/>
          <w:i/>
          <w:iCs/>
          <w:sz w:val="24"/>
        </w:rPr>
        <w:t>Cost accounting and financial management for CA Professional Competence Examination</w:t>
      </w:r>
      <w:r w:rsidRPr="00BB550E">
        <w:rPr>
          <w:rFonts w:ascii="Times New Roman" w:hAnsi="Times New Roman" w:cs="Times New Roman"/>
          <w:sz w:val="24"/>
        </w:rPr>
        <w:t>. New Delhi: Tata McGraw-Hill Publishing Company Ltd.</w:t>
      </w:r>
    </w:p>
    <w:p w:rsidR="008E2744" w:rsidRPr="00E94B85" w:rsidRDefault="008E2744" w:rsidP="00E94B85">
      <w:pPr>
        <w:spacing w:line="480" w:lineRule="auto"/>
        <w:jc w:val="both"/>
        <w:rPr>
          <w:rFonts w:ascii="Times New Roman" w:hAnsi="Times New Roman" w:cs="Times New Roman"/>
          <w:sz w:val="24"/>
        </w:rPr>
      </w:pPr>
    </w:p>
    <w:sectPr w:rsidR="008E2744" w:rsidRPr="00E94B85" w:rsidSect="00883C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70BA" w:rsidRDefault="00A670BA" w:rsidP="00883CA0">
      <w:pPr>
        <w:spacing w:after="0" w:line="240" w:lineRule="auto"/>
      </w:pPr>
      <w:r>
        <w:separator/>
      </w:r>
    </w:p>
  </w:endnote>
  <w:endnote w:type="continuationSeparator" w:id="0">
    <w:p w:rsidR="00A670BA" w:rsidRDefault="00A670BA" w:rsidP="00883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70BA" w:rsidRDefault="00A670BA" w:rsidP="00883CA0">
      <w:pPr>
        <w:spacing w:after="0" w:line="240" w:lineRule="auto"/>
      </w:pPr>
      <w:r>
        <w:separator/>
      </w:r>
    </w:p>
  </w:footnote>
  <w:footnote w:type="continuationSeparator" w:id="0">
    <w:p w:rsidR="00A670BA" w:rsidRDefault="00A670BA" w:rsidP="00883C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A2D" w:rsidRPr="00E53A2D" w:rsidRDefault="00E53A2D" w:rsidP="00E53A2D">
    <w:pPr>
      <w:pStyle w:val="Header"/>
      <w:spacing w:line="480" w:lineRule="auto"/>
      <w:jc w:val="right"/>
      <w:rPr>
        <w:rFonts w:ascii="Times New Roman" w:hAnsi="Times New Roman" w:cs="Times New Roman"/>
        <w:sz w:val="24"/>
      </w:rPr>
    </w:pPr>
    <w:r w:rsidRPr="00E53A2D">
      <w:rPr>
        <w:rFonts w:ascii="Times New Roman" w:hAnsi="Times New Roman" w:cs="Times New Roman"/>
        <w:sz w:val="24"/>
      </w:rPr>
      <w:t>ACCOUNTING AND FINANCIAL DECISIONS</w:t>
    </w:r>
    <w:sdt>
      <w:sdtPr>
        <w:rPr>
          <w:rFonts w:ascii="Times New Roman" w:hAnsi="Times New Roman" w:cs="Times New Roman"/>
          <w:sz w:val="24"/>
        </w:rPr>
        <w:id w:val="460467388"/>
        <w:docPartObj>
          <w:docPartGallery w:val="Page Numbers (Top of Page)"/>
          <w:docPartUnique/>
        </w:docPartObj>
      </w:sdtPr>
      <w:sdtEndPr>
        <w:rPr>
          <w:noProof/>
        </w:rPr>
      </w:sdtEndPr>
      <w:sdtContent>
        <w:r>
          <w:rPr>
            <w:rFonts w:ascii="Times New Roman" w:hAnsi="Times New Roman" w:cs="Times New Roman"/>
            <w:sz w:val="24"/>
          </w:rPr>
          <w:tab/>
        </w:r>
        <w:r w:rsidRPr="00E53A2D">
          <w:rPr>
            <w:rFonts w:ascii="Times New Roman" w:hAnsi="Times New Roman" w:cs="Times New Roman"/>
            <w:sz w:val="24"/>
          </w:rPr>
          <w:fldChar w:fldCharType="begin"/>
        </w:r>
        <w:r w:rsidRPr="00E53A2D">
          <w:rPr>
            <w:rFonts w:ascii="Times New Roman" w:hAnsi="Times New Roman" w:cs="Times New Roman"/>
            <w:sz w:val="24"/>
          </w:rPr>
          <w:instrText xml:space="preserve"> PAGE   \* MERGEFORMAT </w:instrText>
        </w:r>
        <w:r w:rsidRPr="00E53A2D">
          <w:rPr>
            <w:rFonts w:ascii="Times New Roman" w:hAnsi="Times New Roman" w:cs="Times New Roman"/>
            <w:sz w:val="24"/>
          </w:rPr>
          <w:fldChar w:fldCharType="separate"/>
        </w:r>
        <w:r w:rsidR="00DB2FFB">
          <w:rPr>
            <w:rFonts w:ascii="Times New Roman" w:hAnsi="Times New Roman" w:cs="Times New Roman"/>
            <w:noProof/>
            <w:sz w:val="24"/>
          </w:rPr>
          <w:t>2</w:t>
        </w:r>
        <w:r w:rsidRPr="00E53A2D">
          <w:rPr>
            <w:rFonts w:ascii="Times New Roman" w:hAnsi="Times New Roman" w:cs="Times New Roman"/>
            <w:noProof/>
            <w:sz w:val="24"/>
          </w:rPr>
          <w:fldChar w:fldCharType="end"/>
        </w:r>
      </w:sdtContent>
    </w:sdt>
  </w:p>
  <w:p w:rsidR="00E53A2D" w:rsidRDefault="00E53A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CA0" w:rsidRPr="00883CA0" w:rsidRDefault="00883CA0" w:rsidP="00883CA0">
    <w:pPr>
      <w:pStyle w:val="Header"/>
      <w:spacing w:line="480" w:lineRule="auto"/>
      <w:jc w:val="right"/>
      <w:rPr>
        <w:rFonts w:ascii="Times New Roman" w:hAnsi="Times New Roman" w:cs="Times New Roman"/>
        <w:sz w:val="24"/>
      </w:rPr>
    </w:pPr>
    <w:r w:rsidRPr="00883CA0">
      <w:rPr>
        <w:rFonts w:ascii="Times New Roman" w:hAnsi="Times New Roman" w:cs="Times New Roman"/>
        <w:sz w:val="24"/>
      </w:rPr>
      <w:t xml:space="preserve">Running Head: ACCOUNTING AND FINANCIAL </w:t>
    </w:r>
    <w:r>
      <w:rPr>
        <w:rFonts w:ascii="Times New Roman" w:hAnsi="Times New Roman" w:cs="Times New Roman"/>
        <w:sz w:val="24"/>
      </w:rPr>
      <w:t>DECISIONS</w:t>
    </w:r>
    <w:sdt>
      <w:sdtPr>
        <w:rPr>
          <w:rFonts w:ascii="Times New Roman" w:hAnsi="Times New Roman" w:cs="Times New Roman"/>
          <w:sz w:val="24"/>
        </w:rPr>
        <w:id w:val="1571924189"/>
        <w:docPartObj>
          <w:docPartGallery w:val="Page Numbers (Top of Page)"/>
          <w:docPartUnique/>
        </w:docPartObj>
      </w:sdtPr>
      <w:sdtEndPr>
        <w:rPr>
          <w:noProof/>
        </w:rPr>
      </w:sdtEndPr>
      <w:sdtContent>
        <w:r>
          <w:rPr>
            <w:rFonts w:ascii="Times New Roman" w:hAnsi="Times New Roman" w:cs="Times New Roman"/>
            <w:sz w:val="24"/>
          </w:rPr>
          <w:tab/>
        </w:r>
        <w:r w:rsidRPr="00883CA0">
          <w:rPr>
            <w:rFonts w:ascii="Times New Roman" w:hAnsi="Times New Roman" w:cs="Times New Roman"/>
            <w:sz w:val="24"/>
          </w:rPr>
          <w:fldChar w:fldCharType="begin"/>
        </w:r>
        <w:r w:rsidRPr="00883CA0">
          <w:rPr>
            <w:rFonts w:ascii="Times New Roman" w:hAnsi="Times New Roman" w:cs="Times New Roman"/>
            <w:sz w:val="24"/>
          </w:rPr>
          <w:instrText xml:space="preserve"> PAGE   \* MERGEFORMAT </w:instrText>
        </w:r>
        <w:r w:rsidRPr="00883CA0">
          <w:rPr>
            <w:rFonts w:ascii="Times New Roman" w:hAnsi="Times New Roman" w:cs="Times New Roman"/>
            <w:sz w:val="24"/>
          </w:rPr>
          <w:fldChar w:fldCharType="separate"/>
        </w:r>
        <w:r w:rsidR="002575F7">
          <w:rPr>
            <w:rFonts w:ascii="Times New Roman" w:hAnsi="Times New Roman" w:cs="Times New Roman"/>
            <w:noProof/>
            <w:sz w:val="24"/>
          </w:rPr>
          <w:t>1</w:t>
        </w:r>
        <w:r w:rsidRPr="00883CA0">
          <w:rPr>
            <w:rFonts w:ascii="Times New Roman" w:hAnsi="Times New Roman" w:cs="Times New Roman"/>
            <w:noProof/>
            <w:sz w:val="24"/>
          </w:rPr>
          <w:fldChar w:fldCharType="end"/>
        </w:r>
      </w:sdtContent>
    </w:sdt>
  </w:p>
  <w:p w:rsidR="00883CA0" w:rsidRPr="00883CA0" w:rsidRDefault="00883CA0" w:rsidP="00883CA0">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CF2"/>
    <w:rsid w:val="0006047D"/>
    <w:rsid w:val="001813EB"/>
    <w:rsid w:val="001A202D"/>
    <w:rsid w:val="001B5145"/>
    <w:rsid w:val="002575F7"/>
    <w:rsid w:val="00262D1D"/>
    <w:rsid w:val="002A0F29"/>
    <w:rsid w:val="002B582A"/>
    <w:rsid w:val="002F467C"/>
    <w:rsid w:val="00322FBC"/>
    <w:rsid w:val="003900CC"/>
    <w:rsid w:val="00394F2C"/>
    <w:rsid w:val="003A43E5"/>
    <w:rsid w:val="003B5B67"/>
    <w:rsid w:val="00445B76"/>
    <w:rsid w:val="004613AF"/>
    <w:rsid w:val="004633D2"/>
    <w:rsid w:val="00464FD4"/>
    <w:rsid w:val="00542D3B"/>
    <w:rsid w:val="005A0DD7"/>
    <w:rsid w:val="005B3589"/>
    <w:rsid w:val="005C32A3"/>
    <w:rsid w:val="00675B79"/>
    <w:rsid w:val="00692660"/>
    <w:rsid w:val="007073B6"/>
    <w:rsid w:val="007E6A5A"/>
    <w:rsid w:val="008033A0"/>
    <w:rsid w:val="00812E84"/>
    <w:rsid w:val="00883CA0"/>
    <w:rsid w:val="008A3B83"/>
    <w:rsid w:val="008B3CF2"/>
    <w:rsid w:val="008D1694"/>
    <w:rsid w:val="008E2744"/>
    <w:rsid w:val="008E2E67"/>
    <w:rsid w:val="0095431E"/>
    <w:rsid w:val="009A26C7"/>
    <w:rsid w:val="009A6F17"/>
    <w:rsid w:val="00A06B0C"/>
    <w:rsid w:val="00A16FCC"/>
    <w:rsid w:val="00A244C6"/>
    <w:rsid w:val="00A2586C"/>
    <w:rsid w:val="00A277CD"/>
    <w:rsid w:val="00A440D9"/>
    <w:rsid w:val="00A55D0C"/>
    <w:rsid w:val="00A64DB5"/>
    <w:rsid w:val="00A670BA"/>
    <w:rsid w:val="00AA16BB"/>
    <w:rsid w:val="00AE2BE3"/>
    <w:rsid w:val="00B57D2B"/>
    <w:rsid w:val="00BB550E"/>
    <w:rsid w:val="00BF6BC6"/>
    <w:rsid w:val="00C44EA7"/>
    <w:rsid w:val="00C5022C"/>
    <w:rsid w:val="00C5255B"/>
    <w:rsid w:val="00C60FAD"/>
    <w:rsid w:val="00CB2678"/>
    <w:rsid w:val="00CC3231"/>
    <w:rsid w:val="00CF667C"/>
    <w:rsid w:val="00D153B3"/>
    <w:rsid w:val="00DA0D5A"/>
    <w:rsid w:val="00DB2FFB"/>
    <w:rsid w:val="00DB36BE"/>
    <w:rsid w:val="00E53A2D"/>
    <w:rsid w:val="00E94B85"/>
    <w:rsid w:val="00EC5FA3"/>
    <w:rsid w:val="00F61927"/>
    <w:rsid w:val="00FA0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E76CE9-431E-4711-B2B5-02CF61F57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3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CA0"/>
  </w:style>
  <w:style w:type="paragraph" w:styleId="Footer">
    <w:name w:val="footer"/>
    <w:basedOn w:val="Normal"/>
    <w:link w:val="FooterChar"/>
    <w:uiPriority w:val="99"/>
    <w:unhideWhenUsed/>
    <w:rsid w:val="00883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2019-02-11T04:32:00Z</dcterms:created>
  <dcterms:modified xsi:type="dcterms:W3CDTF">2019-02-11T04:32:00Z</dcterms:modified>
</cp:coreProperties>
</file>